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60392C" w:rsidRPr="0060392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28750" cy="1428750"/>
                  <wp:effectExtent l="19050" t="0" r="0" b="0"/>
                  <wp:docPr id="1" name="Imagen 1" descr="Tango Mar Beach Resort &amp; Country Clu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ngo Mar Beach Resort &amp; Country Clu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Malpais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hacia la parte norte  de playa Santa Teresa, en 7 acres de playa de arena blanca, escondido entre la playa y los árboles de almendro y palmeras, esta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Florblanca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Resort. Un paraíso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romatico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privado, diseñado para gente que quiere la comodidad del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fino resort, mientras disfrutan de la aventura y la emoción de una selva tropical como destino. Esta colección de villas simplemente lujosas, son un descanso para cuerpo y alma.</w:t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762125"/>
                  <wp:effectExtent l="19050" t="0" r="9525" b="0"/>
                  <wp:docPr id="2" name="Imagen 2" descr="http://www.conozcacostarica.com/images/florblanca_view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florblanca_view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771650"/>
                  <wp:effectExtent l="19050" t="0" r="9525" b="0"/>
                  <wp:docPr id="3" name="Imagen 3" descr="http://www.conozcacostarica.com/images/florblanca_massage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florblanca_massage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Hay un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dojo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para karate y yoga, terapia de masajes, sala de música, TV por cable en una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sala, y un estudio de arte y alfarería. Guías residentes le guiaran en tours a caballo, caminatas naturales hacia el Parque Nacional de Cabo Blanco y tours de buceo en las aguas cercanas.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FlorBlanca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hotel maneja la más lujosa opción de los alrededores y uno de los más lujosos y personalizados hoteles de todo el país.</w:t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762125"/>
                  <wp:effectExtent l="19050" t="0" r="9525" b="0"/>
                  <wp:docPr id="4" name="Imagen 4" descr="http://www.conozcacostarica.com/images/florblanca_music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florblanca_music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09875" cy="1762125"/>
                  <wp:effectExtent l="19050" t="0" r="9525" b="0"/>
                  <wp:docPr id="5" name="Imagen 5" descr="http://www.conozcacostarica.com/images/florblanca_room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florblanca_room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villas individuales son enormes, con una amplia sala de estar, que da hacia una espaciosa terraza. El amueblado, las decoraciones y la arquitectura, son una mezcla con influencia Latino Americana y Asiática, con algunos hermosos adornos Africanos. Cada villa tiene una tina de baño, al estilo Balines, al aire libre.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mayoría tienen vista sobre los exuberantes jardines hacia el mar. Cada unidad ofrece un gran cuarto de baño al aire libre con ducha de jardín y tina de baño, entre el florido y tropical follaje. Usted también podría optar por la villa con una habitación, con cuatro camas tamaño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 habitación principal, o la villa con dos habitaciones, dos baños, más apropiada para familias, con dos camas matrimoniales en habitaciones separadas.</w:t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762125"/>
                  <wp:effectExtent l="19050" t="0" r="9525" b="0"/>
                  <wp:docPr id="6" name="Imagen 6" descr="http://www.conozcacostarica.com/images/florblanca_view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florblanca_view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762125"/>
                  <wp:effectExtent l="19050" t="0" r="9525" b="0"/>
                  <wp:docPr id="7" name="Imagen 7" descr="http://www.conozcacostarica.com/images/florblanca_rest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florblanca_rest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Dos piscinas, fluyendo una hacia la otra y conectadas por medio de una cascada esculpida, frente al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exelente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restaurante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alfresco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Néctar, el cual sirve cenas tipo gourmet de cuatro platos, con menús de mucha inventiva. Las tarifas de habitación incluyen espléndidos desayunos de múltiples platillos.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0392C" w:rsidRDefault="0060392C" w:rsidP="0060392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60392C" w:rsidRDefault="0060392C" w:rsidP="0060392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60392C" w:rsidRDefault="0060392C" w:rsidP="0060392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60392C" w:rsidRDefault="0060392C" w:rsidP="0060392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60392C" w:rsidRPr="0060392C" w:rsidRDefault="0060392C" w:rsidP="0060392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60392C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655"/>
              <w:gridCol w:w="1671"/>
              <w:gridCol w:w="1737"/>
              <w:gridCol w:w="2172"/>
              <w:gridCol w:w="1795"/>
            </w:tblGrid>
            <w:tr w:rsidR="0060392C" w:rsidRPr="006039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color w:val="006666"/>
                      <w:sz w:val="20"/>
                      <w:szCs w:val="20"/>
                      <w:lang w:eastAsia="es-CR"/>
                    </w:rPr>
                    <w:t>Temporada Verde</w:t>
                  </w:r>
                  <w:r w:rsidRPr="0060392C">
                    <w:rPr>
                      <w:rFonts w:ascii="Verdana" w:eastAsia="Times New Roman" w:hAnsi="Verdana" w:cs="Times New Roman"/>
                      <w:color w:val="006666"/>
                      <w:sz w:val="20"/>
                      <w:szCs w:val="20"/>
                      <w:lang w:eastAsia="es-CR"/>
                    </w:rPr>
                    <w:br/>
                    <w:t>(Set. 01 a Dic. 14)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color w:val="006666"/>
                      <w:sz w:val="20"/>
                      <w:szCs w:val="20"/>
                      <w:lang w:eastAsia="es-CR"/>
                    </w:rPr>
                    <w:t xml:space="preserve">Temporada Alta </w:t>
                  </w:r>
                  <w:r w:rsidRPr="0060392C">
                    <w:rPr>
                      <w:rFonts w:ascii="Verdana" w:eastAsia="Times New Roman" w:hAnsi="Verdana" w:cs="Times New Roman"/>
                      <w:color w:val="006666"/>
                      <w:sz w:val="20"/>
                      <w:szCs w:val="20"/>
                      <w:lang w:eastAsia="es-CR"/>
                    </w:rPr>
                    <w:br/>
                    <w:t>(Ene. 11 a Ago. 31)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color w:val="006666"/>
                      <w:sz w:val="20"/>
                      <w:szCs w:val="20"/>
                      <w:lang w:eastAsia="es-CR"/>
                    </w:rPr>
                    <w:t xml:space="preserve">Temporada Especial </w:t>
                  </w:r>
                  <w:r w:rsidRPr="0060392C">
                    <w:rPr>
                      <w:rFonts w:ascii="Verdana" w:eastAsia="Times New Roman" w:hAnsi="Verdana" w:cs="Times New Roman"/>
                      <w:color w:val="006666"/>
                      <w:sz w:val="20"/>
                      <w:szCs w:val="20"/>
                      <w:lang w:eastAsia="es-CR"/>
                    </w:rPr>
                    <w:br/>
                    <w:t>(Dic. 15 a Ene. 10</w:t>
                  </w:r>
                  <w:r w:rsidRPr="0060392C">
                    <w:rPr>
                      <w:rFonts w:ascii="Verdana" w:eastAsia="Times New Roman" w:hAnsi="Verdana" w:cs="Times New Roman"/>
                      <w:color w:val="006666"/>
                      <w:sz w:val="20"/>
                      <w:szCs w:val="20"/>
                      <w:lang w:eastAsia="es-CR"/>
                    </w:rPr>
                    <w:br/>
                    <w:t>* Min. 5 noches de estadía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</w:p>
              </w:tc>
            </w:tr>
            <w:tr w:rsidR="0060392C" w:rsidRPr="006039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Superior Villa </w:t>
                  </w: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Un Dormitorio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Basado en 2 personas</w:t>
                  </w:r>
                </w:p>
              </w:tc>
            </w:tr>
            <w:tr w:rsidR="0060392C" w:rsidRPr="006039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Villa </w:t>
                  </w: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Un Dormitorio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Basado en 2 personas</w:t>
                  </w:r>
                </w:p>
              </w:tc>
            </w:tr>
            <w:tr w:rsidR="0060392C" w:rsidRPr="006039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Superior Villa</w:t>
                  </w: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Dos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$825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Basado en 4 personas</w:t>
                  </w:r>
                </w:p>
              </w:tc>
            </w:tr>
            <w:tr w:rsidR="0060392C" w:rsidRPr="006039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Villa </w:t>
                  </w: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Dos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$875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Basado en 4 personas</w:t>
                  </w:r>
                </w:p>
              </w:tc>
            </w:tr>
            <w:tr w:rsidR="0060392C" w:rsidRPr="006039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Casa Luna de Miel</w:t>
                  </w: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En la playa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0392C" w:rsidRPr="0060392C" w:rsidRDefault="0060392C" w:rsidP="00603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039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Basado en 2 personas</w:t>
                  </w:r>
                </w:p>
              </w:tc>
            </w:tr>
          </w:tbl>
          <w:p w:rsidR="0060392C" w:rsidRPr="0060392C" w:rsidRDefault="0060392C" w:rsidP="00603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60392C" w:rsidRPr="0060392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0392C" w:rsidRPr="0060392C" w:rsidRDefault="0060392C" w:rsidP="00603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Traslado a la pista de aterrizaje del hotel Tambor: $50.00 *hasta 4 personas</w:t>
            </w:r>
          </w:p>
          <w:p w:rsidR="0060392C" w:rsidRPr="0060392C" w:rsidRDefault="0060392C" w:rsidP="00603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precio de </w:t>
            </w:r>
            <w:proofErr w:type="gram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villas</w:t>
            </w:r>
            <w:proofErr w:type="gram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varia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acuerdo a la ubicación. Como resultado usted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vera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 rango de precios basados en cual villa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disponible. Algunas villas tienen vista completa al océano, otras tienen vista parcial al océano y algunas otras tienen vista a los jardines. Todas las villas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frente al mar.</w:t>
            </w:r>
          </w:p>
          <w:p w:rsidR="0060392C" w:rsidRPr="0060392C" w:rsidRDefault="0060392C" w:rsidP="00603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60392C" w:rsidRPr="0060392C" w:rsidRDefault="0060392C" w:rsidP="0060392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el 13% de impuestos de ley </w:t>
            </w:r>
          </w:p>
          <w:p w:rsidR="0060392C" w:rsidRPr="0060392C" w:rsidRDefault="0060392C" w:rsidP="0060392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No se admiten niños menores de 12 años en el </w:t>
            </w:r>
            <w:proofErr w:type="spellStart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Florblanca</w:t>
            </w:r>
            <w:proofErr w:type="spellEnd"/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0392C" w:rsidRPr="0060392C" w:rsidRDefault="0060392C" w:rsidP="0060392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Persona adicional por noche $100 + impuestos </w:t>
            </w:r>
          </w:p>
          <w:p w:rsidR="0060392C" w:rsidRPr="0060392C" w:rsidRDefault="0060392C" w:rsidP="0060392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5 noches como mínimo de Diciembre 20 a Enero 5.</w:t>
            </w: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0392C" w:rsidRPr="0060392C" w:rsidRDefault="0060392C" w:rsidP="0060392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Máximo 3 persona en una villa de una habitación</w:t>
            </w: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60392C" w:rsidRPr="0060392C" w:rsidRDefault="0060392C" w:rsidP="0060392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039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Máximo 5 personas en una villa de dos habitaciones.</w:t>
            </w:r>
            <w:r w:rsidRPr="006039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A3620"/>
    <w:multiLevelType w:val="multilevel"/>
    <w:tmpl w:val="ED70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0392C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32B2"/>
    <w:rsid w:val="005D1C35"/>
    <w:rsid w:val="005D36DC"/>
    <w:rsid w:val="005F48DE"/>
    <w:rsid w:val="005F7AA5"/>
    <w:rsid w:val="005F7E67"/>
    <w:rsid w:val="0060392C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6039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0392C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603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60392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2010-08-10T17:56:00Z</dcterms:created>
  <dcterms:modified xsi:type="dcterms:W3CDTF">2010-08-10T17:57:00Z</dcterms:modified>
</cp:coreProperties>
</file>